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4"/>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bookmarkStart w:id="0" w:name="_GoBack"/>
            <w:r>
              <w:rPr>
                <w:rFonts w:hint="eastAsia" w:ascii="宋体" w:hAnsi="宋体" w:eastAsia="宋体" w:cs="宋体"/>
                <w:b/>
                <w:sz w:val="52"/>
                <w:lang w:eastAsia="zh-CN"/>
              </w:rPr>
              <w:t>2023</w:t>
            </w:r>
            <w:r>
              <w:rPr>
                <w:rFonts w:ascii="宋体" w:hAnsi="宋体" w:eastAsia="宋体" w:cs="宋体"/>
                <w:b/>
                <w:sz w:val="52"/>
              </w:rPr>
              <w:t>年度宿迁市红十字会部门预算公开</w:t>
            </w:r>
            <w:bookmarkEnd w:id="0"/>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4"/>
        <w:spacing w:before="4" w:after="0"/>
        <w:rPr>
          <w:rFonts w:ascii="华文仿宋" w:hAnsi="华文仿宋" w:eastAsia="华文仿宋" w:cs="仿宋"/>
          <w:sz w:val="10"/>
        </w:rPr>
      </w:pPr>
    </w:p>
    <w:p>
      <w:pPr>
        <w:pStyle w:val="2"/>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4"/>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4"/>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4"/>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4"/>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eastAsia="仿宋" w:cs="仿宋"/>
          <w:b/>
        </w:rPr>
        <w:t>部门预算表</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4"/>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4"/>
        <w:spacing w:before="1" w:after="0"/>
        <w:rPr>
          <w:rFonts w:ascii="华文仿宋" w:hAnsi="华文仿宋" w:eastAsia="华文仿宋" w:cs="仿宋"/>
          <w:sz w:val="14"/>
        </w:rPr>
      </w:pPr>
    </w:p>
    <w:p>
      <w:pPr>
        <w:pStyle w:val="3"/>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部门概况</w:t>
      </w:r>
    </w:p>
    <w:p>
      <w:pPr>
        <w:ind w:right="504" w:rightChars="229"/>
        <w:jc w:val="both"/>
        <w:rPr>
          <w:rFonts w:hint="eastAsia"/>
        </w:rPr>
      </w:pP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依据《中华人民共和国红十字会法》、《中国红十字会章程》、《江苏省实施〈中华人民共和国红十字会法〉办法》和《国务院关于促进红十字事业发展的意见》及市委市政府《关于加快发展红十字事业的意见》，宿迁市红十字会承担以下工作：</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（一）宣传贯彻《中华人民共和国红十字会法》《中华人民共和国红十字标志使用办法》等法规，依照《中国红十字会章程》，制定全市红十字事业发展规划，指导各县（区）红十字会开展工作。</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（二）开展救援、救灾的相关工作，建立红十字应急救援体系。</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（三）开展红十字募捐筹资，建立和管理红十字公益金，用于开展符合红十字会宗旨的公益活动和红十字文化传播。</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（四）参与、推动无偿献血、遗体和人体器官捐献工作，参与开展造血干细胞捐献的相关工作，建设和管理“中国造血干细胞捐献者资料库江苏省分库宿迁工作站”。</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（五）开展应急救护培训，普及应急救护、防灾避险和卫生健康知识，组织志愿者参与现场救护。</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（六）组织开展红十字志愿服务、红十字青少年工作。</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（七）参与开展国际人道主义救援工作。</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（八）协助政府开展台事服务工作，促进两岸红十字组织和民间人士的交流合作；开展与港、澳地区红十字组织交流、合作相关工作。</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（九）完成市委、市政府交办的其他任务。</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部门</w:t>
      </w:r>
      <w:r>
        <w:rPr>
          <w:rFonts w:hint="eastAsia" w:ascii="仿宋" w:hAnsi="仿宋" w:eastAsia="仿宋" w:cs="仿宋"/>
          <w:b/>
          <w:bCs/>
        </w:rPr>
        <w:t>机构设置及预算单位构成情况</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ascii="仿宋" w:hAnsi="仿宋" w:eastAsia="仿宋" w:cs="仿宋"/>
        </w:rPr>
        <w:t>本部门内设机构包括：办公室、事业发展部、救护赈济部、捐献工作部。本部门无下属单位。</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2023</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ascii="仿宋" w:hAnsi="仿宋" w:eastAsia="仿宋" w:cs="仿宋"/>
        </w:rPr>
        <w:t>1</w:t>
      </w:r>
      <w:r>
        <w:rPr>
          <w:rFonts w:hint="eastAsia" w:ascii="仿宋" w:hAnsi="仿宋" w:eastAsia="仿宋" w:cs="仿宋"/>
        </w:rPr>
        <w:t>家，具体包括：</w:t>
      </w:r>
      <w:r>
        <w:rPr>
          <w:rFonts w:ascii="仿宋" w:hAnsi="仿宋" w:eastAsia="仿宋" w:cs="仿宋"/>
        </w:rPr>
        <w:t>宿迁市红十字会（本级）。</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eastAsia="仿宋" w:cs="仿宋"/>
          <w:b/>
        </w:rPr>
        <w:t>部门主要工作任务及目标</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一、保护生命健康，救护救援再提质，实现应急救援高标准</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是高标准建设救护救援基地。推进“博爱家园”、“景区救护站”、“生命健康体验教室”等阵地建设，整合动员社会人道资源，广泛开展健康服务、大病救助、扶贫帮困等社会救助和关爱保护活动，确保洪泽湖湿地景区等红十字救护站发挥效能，积极争创省优秀博爱家园。确保全年投放自动体外心脏除颤仪65台，培训救护员5000人，普及性培训55000人，全年受益群众20000人以上。二是高标准打造救护培训知名品牌。紧扣“救在身边”应急救护培训品牌建设，联合市教育局扎实开展“救在身边校园守护”行动，重点推进中小学教职员工救护培训，确保学生军训应急救护知识和技能普及率达100%。三是高标准建成物资储备库。按照《江苏省红十字事业发展第十四个五年规划（2021-2025年）》等文件要求，积极推动市红十字会物资储备库的建设，主动对接市发改委等单位，加快项目建设进度，对照《中国红十字会物资储备库管理工作细则（试行）》等规章制度，加强物资储备库标准化、制度化、专业化、信息化建设。</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二、弘扬人道精神，人道救助再增效，实现人民生活高品质</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以生命健康护“心”行动、自救互救能力提升行动、困难群体人道救助行动等三项行动为主抓手，不断提升健康服务保障能力和人道救助救护能力。以“博爱送万家”项目为着力点，积极助力保障改善民生。加强项目申报，继续实施以救助重大疾病和罕见病患儿为主要内容的“红十字天使计划”，积极申报“小天使”“天使阳光”救助项目，进一步打造红会品牌。</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三、增进人文关怀，生命关爱再厚植，实现文明诚信高水平</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是持续开展造血干细胞捐献、无偿献血、人体器官与遗体捐献宣传动员工作，利用公交站台、网站等多种渠道、多种载体广泛开展宣传，在世界骨髓捐献者日、世界献血日等重要节点，联合相关部门，组织成功捐献志愿者开展纪念活动并大力宣传，弘扬捐献光荣的社会风尚，感召激励更多的人加入到“奉献爱心、挽救生命”的事业中。二是加强线上线下平台建设，规范采集流程，提高捐献成功率，扩大有效库容量，完成全年采集不少于600个样本任务，督促各县区均建立一支不少于20人的无偿献血志愿服务队。加强与慈善总会、市扶贫协会等部门合作，实施“小天使”救助项目，提高白血病儿童的救助能力。三是组织开展遗体器官捐献者缅怀纪念活动。做好遗体器官捐献协调见证及志愿者登记工作，争取捐献志愿报名登记数年增长率突破10%。</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四、提升服务半径，改革创新再深化，实现社会治理高效能</w:t>
      </w: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加强组织建设，推动红十字会基层组织向乡镇（街道）、村（社区）、企事业单位和其他组织拓展。指导县区、功能区红十字会按照《宿迁市红十字会基层组织工作手册》要求，提升基层组织工作能力，创新工作载体，增强服务功能，完善激励机制，激发组织活力。加强学校红十字工作，坚持把做好红十字青少年工作作为践行社会主义核心价值观的重要抓手，充分发挥红十字工作育人作用，推动文明校园建设。推进有换届任务的县区红十字会依法依章程按期换届，同步设立监事会。</w:t>
      </w:r>
    </w:p>
    <w:p>
      <w:pPr>
        <w:pStyle w:val="4"/>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4"/>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10"/>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10"/>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10"/>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10"/>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10"/>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10"/>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10"/>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10"/>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10"/>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宿迁市红十字会</w:t>
      </w:r>
    </w:p>
    <w:p>
      <w:pPr>
        <w:pStyle w:val="10"/>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eastAsia="仿宋" w:cs="仿宋"/>
          <w:b/>
          <w:sz w:val="44"/>
        </w:rPr>
        <w:t>预算表</w:t>
      </w:r>
    </w:p>
    <w:tbl>
      <w:tblPr>
        <w:tblStyle w:val="7"/>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color w:val="000000"/>
                <w:sz w:val="22"/>
                <w:szCs w:val="22"/>
                <w:lang w:eastAsia="ar-SA"/>
              </w:rPr>
              <w:t>宿迁市红十字会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443.33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443.33</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443.33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443.33</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443.33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443.33</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7"/>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11"/>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11"/>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11"/>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宿迁市红十字会</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11"/>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443.33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443.33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443.33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宿迁市红十字会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443.33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443.33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443.33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306001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宿迁市红十字会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443.33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443.33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443.33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7"/>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3"/>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11"/>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宿迁市红十字会</w:t>
            </w:r>
          </w:p>
        </w:tc>
        <w:tc>
          <w:tcPr>
            <w:tcW w:w="3317" w:type="dxa"/>
            <w:gridSpan w:val="2"/>
            <w:vAlign w:val="center"/>
          </w:tcPr>
          <w:p>
            <w:pPr>
              <w:pStyle w:val="11"/>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11"/>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11"/>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443.33</w:t>
            </w:r>
          </w:p>
        </w:tc>
        <w:tc>
          <w:tcPr>
            <w:tcW w:w="1714" w:type="dxa"/>
            <w:tcBorders>
              <w:left w:val="single" w:color="000000" w:sz="4" w:space="0"/>
              <w:bottom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251.33</w:t>
            </w:r>
          </w:p>
        </w:tc>
        <w:tc>
          <w:tcPr>
            <w:tcW w:w="1749" w:type="dxa"/>
            <w:tcBorders>
              <w:left w:val="single" w:color="000000" w:sz="4" w:space="0"/>
              <w:bottom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192.00</w:t>
            </w:r>
          </w:p>
        </w:tc>
        <w:tc>
          <w:tcPr>
            <w:tcW w:w="1868" w:type="dxa"/>
            <w:tcBorders>
              <w:left w:val="single" w:color="000000" w:sz="4" w:space="0"/>
              <w:bottom w:val="single" w:color="000000" w:sz="4" w:space="0"/>
            </w:tcBorders>
            <w:vAlign w:val="center"/>
          </w:tcPr>
          <w:p>
            <w:pPr>
              <w:pStyle w:val="11"/>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11"/>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11"/>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11"/>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443.33</w:t>
            </w:r>
          </w:p>
        </w:tc>
        <w:tc>
          <w:tcPr>
            <w:tcW w:w="1714"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251.33</w:t>
            </w:r>
          </w:p>
        </w:tc>
        <w:tc>
          <w:tcPr>
            <w:tcW w:w="1749"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192.00</w:t>
            </w:r>
          </w:p>
        </w:tc>
        <w:tc>
          <w:tcPr>
            <w:tcW w:w="1868"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11"/>
              <w:widowControl w:val="0"/>
              <w:rPr>
                <w:rFonts w:hint="eastAsia" w:ascii="仿宋" w:hAnsi="仿宋" w:eastAsia="仿宋" w:cs="仿宋"/>
                <w:sz w:val="22"/>
                <w:szCs w:val="22"/>
              </w:rPr>
            </w:pPr>
            <w:r>
              <w:rPr>
                <w:rFonts w:hint="eastAsia" w:ascii="仿宋" w:hAnsi="仿宋" w:eastAsia="仿宋" w:cs="仿宋"/>
                <w:sz w:val="22"/>
                <w:szCs w:val="22"/>
              </w:rPr>
              <w:t>20816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11"/>
              <w:widowControl w:val="0"/>
              <w:rPr>
                <w:rFonts w:hint="eastAsia" w:ascii="仿宋" w:hAnsi="仿宋" w:eastAsia="仿宋" w:cs="仿宋"/>
                <w:sz w:val="22"/>
                <w:szCs w:val="22"/>
              </w:rPr>
            </w:pPr>
            <w:r>
              <w:rPr>
                <w:rFonts w:hint="eastAsia" w:ascii="仿宋" w:hAnsi="仿宋" w:eastAsia="仿宋" w:cs="仿宋"/>
                <w:sz w:val="22"/>
                <w:szCs w:val="22"/>
              </w:rPr>
              <w:t>红十字事业</w:t>
            </w:r>
          </w:p>
        </w:tc>
        <w:tc>
          <w:tcPr>
            <w:tcW w:w="1920"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443.33</w:t>
            </w:r>
          </w:p>
        </w:tc>
        <w:tc>
          <w:tcPr>
            <w:tcW w:w="1714"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251.33</w:t>
            </w:r>
          </w:p>
        </w:tc>
        <w:tc>
          <w:tcPr>
            <w:tcW w:w="1749"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192.00</w:t>
            </w:r>
          </w:p>
        </w:tc>
        <w:tc>
          <w:tcPr>
            <w:tcW w:w="1868"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11"/>
              <w:widowControl w:val="0"/>
              <w:rPr>
                <w:rFonts w:hint="eastAsia" w:ascii="仿宋" w:hAnsi="仿宋" w:eastAsia="仿宋" w:cs="仿宋"/>
                <w:sz w:val="22"/>
                <w:szCs w:val="22"/>
              </w:rPr>
            </w:pPr>
            <w:r>
              <w:rPr>
                <w:rFonts w:hint="eastAsia" w:ascii="仿宋" w:hAnsi="仿宋" w:eastAsia="仿宋" w:cs="仿宋"/>
                <w:sz w:val="22"/>
                <w:szCs w:val="22"/>
              </w:rPr>
              <w:t>2081601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11"/>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251.33</w:t>
            </w:r>
          </w:p>
        </w:tc>
        <w:tc>
          <w:tcPr>
            <w:tcW w:w="1714"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251.33</w:t>
            </w:r>
          </w:p>
        </w:tc>
        <w:tc>
          <w:tcPr>
            <w:tcW w:w="1749"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11"/>
              <w:widowControl w:val="0"/>
              <w:rPr>
                <w:rFonts w:hint="eastAsia" w:ascii="仿宋" w:hAnsi="仿宋" w:eastAsia="仿宋" w:cs="仿宋"/>
                <w:sz w:val="22"/>
                <w:szCs w:val="22"/>
              </w:rPr>
            </w:pPr>
            <w:r>
              <w:rPr>
                <w:rFonts w:hint="eastAsia" w:ascii="仿宋" w:hAnsi="仿宋" w:eastAsia="仿宋" w:cs="仿宋"/>
                <w:sz w:val="22"/>
                <w:szCs w:val="22"/>
              </w:rPr>
              <w:t>2081603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11"/>
              <w:widowControl w:val="0"/>
              <w:rPr>
                <w:rFonts w:hint="eastAsia" w:ascii="仿宋" w:hAnsi="仿宋" w:eastAsia="仿宋" w:cs="仿宋"/>
                <w:sz w:val="22"/>
                <w:szCs w:val="22"/>
              </w:rPr>
            </w:pPr>
            <w:r>
              <w:rPr>
                <w:rFonts w:hint="eastAsia" w:ascii="仿宋" w:hAnsi="仿宋" w:eastAsia="仿宋" w:cs="仿宋"/>
                <w:sz w:val="22"/>
                <w:szCs w:val="22"/>
              </w:rPr>
              <w:t>机关服务</w:t>
            </w:r>
          </w:p>
        </w:tc>
        <w:tc>
          <w:tcPr>
            <w:tcW w:w="1920"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1714"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1868"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11"/>
              <w:widowControl w:val="0"/>
              <w:rPr>
                <w:rFonts w:hint="eastAsia" w:ascii="仿宋" w:hAnsi="仿宋" w:eastAsia="仿宋" w:cs="仿宋"/>
                <w:sz w:val="22"/>
                <w:szCs w:val="22"/>
              </w:rPr>
            </w:pPr>
            <w:r>
              <w:rPr>
                <w:rFonts w:hint="eastAsia" w:ascii="仿宋" w:hAnsi="仿宋" w:eastAsia="仿宋" w:cs="仿宋"/>
                <w:sz w:val="22"/>
                <w:szCs w:val="22"/>
              </w:rPr>
              <w:t>2081699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11"/>
              <w:widowControl w:val="0"/>
              <w:rPr>
                <w:rFonts w:hint="eastAsia" w:ascii="仿宋" w:hAnsi="仿宋" w:eastAsia="仿宋" w:cs="仿宋"/>
                <w:sz w:val="22"/>
                <w:szCs w:val="22"/>
              </w:rPr>
            </w:pPr>
            <w:r>
              <w:rPr>
                <w:rFonts w:hint="eastAsia" w:ascii="仿宋" w:hAnsi="仿宋" w:eastAsia="仿宋" w:cs="仿宋"/>
                <w:sz w:val="22"/>
                <w:szCs w:val="22"/>
              </w:rPr>
              <w:t>其他红十字事业支出</w:t>
            </w:r>
          </w:p>
        </w:tc>
        <w:tc>
          <w:tcPr>
            <w:tcW w:w="1920"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182.00</w:t>
            </w:r>
          </w:p>
        </w:tc>
        <w:tc>
          <w:tcPr>
            <w:tcW w:w="1714"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182.00</w:t>
            </w:r>
          </w:p>
        </w:tc>
        <w:tc>
          <w:tcPr>
            <w:tcW w:w="1868"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11"/>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7"/>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11"/>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11"/>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11"/>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宿迁市红十字会</w:t>
            </w:r>
          </w:p>
        </w:tc>
        <w:tc>
          <w:tcPr>
            <w:tcW w:w="3899" w:type="dxa"/>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11"/>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11"/>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11"/>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11"/>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443.33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443.33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443.33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443.33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11"/>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11"/>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443.33</w:t>
            </w:r>
          </w:p>
        </w:tc>
        <w:tc>
          <w:tcPr>
            <w:tcW w:w="3943" w:type="dxa"/>
            <w:tcBorders>
              <w:left w:val="single" w:color="000000" w:sz="4" w:space="0"/>
              <w:bottom w:val="single" w:color="000000" w:sz="4" w:space="0"/>
            </w:tcBorders>
            <w:vAlign w:val="center"/>
          </w:tcPr>
          <w:p>
            <w:pPr>
              <w:pStyle w:val="11"/>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443.33</w:t>
            </w:r>
          </w:p>
        </w:tc>
      </w:tr>
    </w:tbl>
    <w:p>
      <w:pPr>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7"/>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宿迁市红十字会</w:t>
            </w:r>
          </w:p>
        </w:tc>
        <w:tc>
          <w:tcPr>
            <w:tcW w:w="1664" w:type="dxa"/>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443.33</w:t>
            </w:r>
          </w:p>
        </w:tc>
        <w:tc>
          <w:tcPr>
            <w:tcW w:w="1827" w:type="dxa"/>
            <w:tcBorders>
              <w:left w:val="single" w:color="000000" w:sz="6" w:space="0"/>
              <w:bottom w:val="single" w:color="000000" w:sz="6" w:space="0"/>
            </w:tcBorders>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251.33</w:t>
            </w:r>
          </w:p>
        </w:tc>
        <w:tc>
          <w:tcPr>
            <w:tcW w:w="1813" w:type="dxa"/>
            <w:tcBorders>
              <w:left w:val="single" w:color="000000" w:sz="6" w:space="0"/>
              <w:bottom w:val="single" w:color="000000" w:sz="6" w:space="0"/>
            </w:tcBorders>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163.01</w:t>
            </w:r>
          </w:p>
        </w:tc>
        <w:tc>
          <w:tcPr>
            <w:tcW w:w="1813" w:type="dxa"/>
            <w:tcBorders>
              <w:left w:val="single" w:color="000000" w:sz="6" w:space="0"/>
              <w:bottom w:val="single" w:color="000000" w:sz="6" w:space="0"/>
            </w:tcBorders>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88.32</w:t>
            </w:r>
          </w:p>
        </w:tc>
        <w:tc>
          <w:tcPr>
            <w:tcW w:w="1664" w:type="dxa"/>
            <w:tcBorders>
              <w:left w:val="single" w:color="000000" w:sz="6" w:space="0"/>
              <w:bottom w:val="single" w:color="000000" w:sz="6" w:space="0"/>
              <w:right w:val="single" w:color="000000" w:sz="6" w:space="0"/>
            </w:tcBorders>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88.32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20816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红十字事业</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443.33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88.32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2081601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163.01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88.32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2081603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2081699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其他红十字事业支出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11"/>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182.00</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7"/>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11"/>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11"/>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11"/>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宿迁市红十字会</w:t>
            </w:r>
          </w:p>
        </w:tc>
        <w:tc>
          <w:tcPr>
            <w:tcW w:w="2057" w:type="dxa"/>
            <w:vAlign w:val="center"/>
          </w:tcPr>
          <w:p>
            <w:pPr>
              <w:pStyle w:val="11"/>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11"/>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11"/>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251.33</w:t>
            </w:r>
          </w:p>
        </w:tc>
        <w:tc>
          <w:tcPr>
            <w:tcW w:w="2040" w:type="dxa"/>
            <w:tcBorders>
              <w:left w:val="single" w:color="000000" w:sz="4" w:space="0"/>
              <w:bottom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163.01</w:t>
            </w:r>
          </w:p>
        </w:tc>
        <w:tc>
          <w:tcPr>
            <w:tcW w:w="2057" w:type="dxa"/>
            <w:tcBorders>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88.32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157.56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157.56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29.07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29.07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66.90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66.90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2.42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11.12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11.12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5.56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20.90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20.90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81.32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81.32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17.80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17.80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1.39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10.12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10.12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6.33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2.31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12.32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12.32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6.00</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7"/>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11"/>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11"/>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11"/>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宿迁市红十字会</w:t>
            </w:r>
          </w:p>
        </w:tc>
        <w:tc>
          <w:tcPr>
            <w:tcW w:w="1650" w:type="dxa"/>
            <w:vAlign w:val="center"/>
          </w:tcPr>
          <w:p>
            <w:pPr>
              <w:pStyle w:val="11"/>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11"/>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11"/>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11"/>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11"/>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11"/>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11"/>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11"/>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11"/>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443.33</w:t>
            </w:r>
          </w:p>
        </w:tc>
        <w:tc>
          <w:tcPr>
            <w:tcW w:w="1693" w:type="dxa"/>
            <w:tcBorders>
              <w:left w:val="single" w:color="000000" w:sz="6" w:space="0"/>
              <w:bottom w:val="single" w:color="000000" w:sz="6"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251.33</w:t>
            </w:r>
          </w:p>
        </w:tc>
        <w:tc>
          <w:tcPr>
            <w:tcW w:w="1987" w:type="dxa"/>
            <w:tcBorders>
              <w:left w:val="single" w:color="000000" w:sz="6" w:space="0"/>
              <w:bottom w:val="single" w:color="000000" w:sz="6"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827" w:type="dxa"/>
            <w:tcBorders>
              <w:left w:val="single" w:color="000000" w:sz="6" w:space="0"/>
              <w:bottom w:val="single" w:color="000000" w:sz="6"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88.32</w:t>
            </w:r>
          </w:p>
        </w:tc>
        <w:tc>
          <w:tcPr>
            <w:tcW w:w="1650" w:type="dxa"/>
            <w:tcBorders>
              <w:left w:val="single" w:color="000000" w:sz="6" w:space="0"/>
              <w:bottom w:val="single" w:color="000000" w:sz="6" w:space="0"/>
              <w:right w:val="single" w:color="000000" w:sz="6" w:space="0"/>
            </w:tcBorders>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192.00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443.33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251.33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88.32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192.00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20816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红十字事业</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443.33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251.33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88.32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192.00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2081601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251.33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251.33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163.01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88.32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11"/>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2081603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机关服务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2081699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其他红十字事业支出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182.00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11"/>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182.00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7"/>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11"/>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11"/>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11"/>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宿迁市红十字会</w:t>
            </w:r>
          </w:p>
        </w:tc>
        <w:tc>
          <w:tcPr>
            <w:tcW w:w="1673" w:type="dxa"/>
            <w:vAlign w:val="center"/>
          </w:tcPr>
          <w:p>
            <w:pPr>
              <w:pStyle w:val="11"/>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251.33</w:t>
            </w:r>
          </w:p>
        </w:tc>
        <w:tc>
          <w:tcPr>
            <w:tcW w:w="1974" w:type="dxa"/>
            <w:tcBorders>
              <w:left w:val="single" w:color="000000" w:sz="4" w:space="0"/>
              <w:bottom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163.01</w:t>
            </w:r>
          </w:p>
        </w:tc>
        <w:tc>
          <w:tcPr>
            <w:tcW w:w="1673" w:type="dxa"/>
            <w:tcBorders>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88.32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157.56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157.56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29.07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29.07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66.90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66.90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2.42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11.12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11.12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5.56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20.90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20.90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81.32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81.32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17.80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17.80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1.39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30226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劳务费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10.12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10.12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30227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委托业务费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6.33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6.33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2.31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12.32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12.32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7.00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31002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办公设备购置</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31007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left"/>
              <w:rPr>
                <w:rFonts w:hint="eastAsia" w:ascii="仿宋" w:hAnsi="仿宋" w:eastAsia="仿宋" w:cs="仿宋"/>
              </w:rPr>
            </w:pPr>
            <w:r>
              <w:rPr>
                <w:rFonts w:hint="eastAsia" w:ascii="仿宋" w:hAnsi="仿宋" w:eastAsia="仿宋" w:cs="仿宋"/>
              </w:rPr>
              <w:t>信息网络及软件购置更新</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6.00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7"/>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11"/>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11"/>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11"/>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宿迁市红十字会</w:t>
            </w:r>
          </w:p>
        </w:tc>
        <w:tc>
          <w:tcPr>
            <w:tcW w:w="3840" w:type="dxa"/>
            <w:gridSpan w:val="2"/>
            <w:tcBorders>
              <w:bottom w:val="single" w:color="auto" w:sz="4" w:space="0"/>
            </w:tcBorders>
            <w:vAlign w:val="center"/>
          </w:tcPr>
          <w:p>
            <w:pPr>
              <w:pStyle w:val="11"/>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7.55</w:t>
            </w:r>
          </w:p>
        </w:tc>
        <w:tc>
          <w:tcPr>
            <w:tcW w:w="2332" w:type="dxa"/>
            <w:tcBorders>
              <w:top w:val="single" w:color="auto" w:sz="4" w:space="0"/>
              <w:left w:val="single" w:color="auto" w:sz="4" w:space="0"/>
              <w:bottom w:val="single" w:color="auto" w:sz="4" w:space="0"/>
              <w:right w:val="single" w:color="auto"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6.00</w:t>
            </w:r>
          </w:p>
        </w:tc>
        <w:tc>
          <w:tcPr>
            <w:tcW w:w="1697" w:type="dxa"/>
            <w:tcBorders>
              <w:top w:val="single" w:color="auto" w:sz="4" w:space="0"/>
              <w:left w:val="single" w:color="auto" w:sz="4" w:space="0"/>
              <w:bottom w:val="single" w:color="auto" w:sz="4" w:space="0"/>
              <w:right w:val="single" w:color="auto"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6.00</w:t>
            </w:r>
          </w:p>
        </w:tc>
        <w:tc>
          <w:tcPr>
            <w:tcW w:w="1852" w:type="dxa"/>
            <w:tcBorders>
              <w:top w:val="single" w:color="auto" w:sz="4" w:space="0"/>
              <w:left w:val="single" w:color="auto" w:sz="4" w:space="0"/>
              <w:bottom w:val="single" w:color="auto" w:sz="4" w:space="0"/>
              <w:right w:val="single" w:color="auto"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1.55</w:t>
            </w:r>
          </w:p>
        </w:tc>
        <w:tc>
          <w:tcPr>
            <w:tcW w:w="2057" w:type="dxa"/>
            <w:tcBorders>
              <w:top w:val="single" w:color="auto" w:sz="4" w:space="0"/>
              <w:left w:val="single" w:color="auto" w:sz="4" w:space="0"/>
              <w:bottom w:val="single" w:color="auto" w:sz="4" w:space="0"/>
              <w:right w:val="single" w:color="auto"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3.00</w:t>
            </w:r>
          </w:p>
        </w:tc>
        <w:tc>
          <w:tcPr>
            <w:tcW w:w="1783" w:type="dxa"/>
            <w:tcBorders>
              <w:top w:val="single" w:color="auto" w:sz="4" w:space="0"/>
              <w:left w:val="single" w:color="auto" w:sz="4" w:space="0"/>
              <w:bottom w:val="single" w:color="auto" w:sz="4" w:space="0"/>
              <w:right w:val="single" w:color="auto" w:sz="4" w:space="0"/>
            </w:tcBorders>
            <w:vAlign w:val="center"/>
          </w:tcPr>
          <w:p>
            <w:pPr>
              <w:pStyle w:val="11"/>
              <w:widowControl w:val="0"/>
              <w:jc w:val="right"/>
              <w:rPr>
                <w:rFonts w:hint="eastAsia" w:ascii="仿宋" w:hAnsi="仿宋" w:eastAsia="仿宋" w:cs="仿宋"/>
              </w:rPr>
            </w:pPr>
            <w:r>
              <w:rPr>
                <w:rFonts w:hint="eastAsia" w:ascii="仿宋" w:hAnsi="仿宋" w:eastAsia="仿宋" w:cs="仿宋"/>
              </w:rPr>
              <w:t>55.39</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7"/>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11"/>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11"/>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11"/>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宿迁市红十字会</w:t>
            </w:r>
          </w:p>
        </w:tc>
        <w:tc>
          <w:tcPr>
            <w:tcW w:w="2485" w:type="dxa"/>
            <w:tcBorders>
              <w:top w:val="nil"/>
              <w:left w:val="nil"/>
              <w:bottom w:val="single" w:color="auto" w:sz="4" w:space="0"/>
              <w:right w:val="nil"/>
            </w:tcBorders>
            <w:vAlign w:val="center"/>
          </w:tcPr>
          <w:p>
            <w:pPr>
              <w:pStyle w:val="11"/>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11"/>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部门无政府性基金预算，也没有使用政府性基金安排的支出，故本表无数据。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7"/>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宿迁市红十字会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注：本部门无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7"/>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11"/>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11"/>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11"/>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宿迁市红十字会</w:t>
            </w:r>
          </w:p>
        </w:tc>
        <w:tc>
          <w:tcPr>
            <w:tcW w:w="2351" w:type="dxa"/>
            <w:tcBorders>
              <w:bottom w:val="single" w:color="auto" w:sz="4" w:space="0"/>
            </w:tcBorders>
            <w:vAlign w:val="center"/>
          </w:tcPr>
          <w:p>
            <w:pPr>
              <w:pStyle w:val="11"/>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11"/>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11"/>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11"/>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81.32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81.32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30201</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17.80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30202</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30205</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0.50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30206</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5.50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30207</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6.20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30211</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30215</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30216</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1.39</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30217</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1.55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30226</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劳务费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10.12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30227</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委托业务费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30228</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6.33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30229</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2.31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30231</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30239</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12.32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30299</w:t>
            </w:r>
          </w:p>
        </w:tc>
        <w:tc>
          <w:tcPr>
            <w:tcW w:w="2876" w:type="dxa"/>
            <w:tcBorders>
              <w:top w:val="single" w:color="000000" w:sz="4" w:space="0"/>
              <w:left w:val="single" w:color="000000" w:sz="4" w:space="0"/>
              <w:bottom w:val="single" w:color="auto" w:sz="4" w:space="0"/>
              <w:right w:val="single" w:color="000000" w:sz="4" w:space="0"/>
            </w:tcBorders>
          </w:tcPr>
          <w:p>
            <w:pPr>
              <w:pStyle w:val="11"/>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11"/>
              <w:widowControl w:val="0"/>
              <w:jc w:val="right"/>
              <w:rPr>
                <w:rFonts w:hint="eastAsia" w:ascii="仿宋" w:hAnsi="仿宋" w:eastAsia="仿宋" w:cs="仿宋"/>
                <w:sz w:val="22"/>
                <w:szCs w:val="22"/>
              </w:rPr>
            </w:pPr>
            <w:r>
              <w:rPr>
                <w:rFonts w:hint="eastAsia" w:ascii="仿宋" w:hAnsi="仿宋" w:eastAsia="仿宋" w:cs="仿宋"/>
                <w:sz w:val="22"/>
                <w:szCs w:val="22"/>
              </w:rPr>
              <w:t>0.30</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7"/>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11"/>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11"/>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11"/>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宿迁市红十字会</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11"/>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11"/>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11"/>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部门无政府采购支出，故本表无数据。</w:t>
      </w:r>
    </w:p>
    <w:p>
      <w:pPr>
        <w:bidi w:val="0"/>
        <w:rPr>
          <w:rFonts w:hint="eastAsia" w:ascii="仿宋" w:hAnsi="仿宋" w:eastAsia="仿宋" w:cs="仿宋"/>
          <w:b/>
          <w:bCs/>
          <w:sz w:val="22"/>
          <w:szCs w:val="22"/>
        </w:rPr>
        <w:sectPr>
          <w:footerReference r:id="rId19"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3"/>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eastAsia="仿宋" w:cs="仿宋"/>
          <w:b/>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4"/>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年度收入、支出预算总计443.33万元，与上年相比收、支预算总计各增加23.21万元，增长5.52%。</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（一）收入预算总计443.33万元。包括：</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1．本年收入合计443.33万元。</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（1）一般公共预算拨款收入443.33万元，与上年相比增加23.21万元，增长5.52%。主要原因是人员增加。</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（二）支出预算总计443.33万元。包括：</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1．本年支出合计443.33万元。</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（1）社会保障和就业支出（类）支出443.33万元，主要用于人员支出、公用支出、项目支出。与上年相比增加23.21万元，增长5.52%。主要原因是人员增加。</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年收入预算合计443.33万元，包括本年收入443.33万元，上年结转结余0万元。</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本年一般公共预算收入443.33万元，占100%；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年支出预算合计443.33万元，其中：</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基本支出251.33万元，占56.69%；</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项目支出192万元，占43.31%；</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年度财政拨款收、支总预算443.33万元。与上年相比，财政拨款收、支总计各增加23.21万元，增长5.52%。主要原因是人员增加。</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年财政拨款预算支出443.33万元，占本年支出合计的100%。与上年相比，财政拨款支出增加23.21万元，增长5.52%。主要原因是人员增加。</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（一）社会保障和就业支出（类）</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1.红十字事业（款）行政运行（项）支出251.33万元，与上年相比增加27.21万元，增长12.14%。主要原因是人员增加。</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2.红十字事业（款）机关服务（项）支出10万元，与上年相比增加10万元（去年预算数为0万元，无法计算增减比率）。主要原因是办公楼外墙维修。</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3.红十字事业（款）其他红十字事业支出（项）支出182万元，与上年相比减少14万元，减少7.14%。主要原因是项目经费压缩。</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年度财政拨款基本支出预算251.33万元，其中：</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163.01万元。主要包括：基本工资、津贴补贴、奖金、机关事业单位基本养老保险缴费、职业年金缴费、职工基本医疗保险缴费、其他社会保障缴费、住房公积金、其他工资福利支出、退休费、奖励金。</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88.32万元。主要包括：办公费、印刷费、水费、电费、邮电费、差旅费、会议费、培训费、公务接待费、劳务费、委托业务费、工会经费、福利费、公务用车运行维护费、其他交通费用、其他商品和服务支出、办公设备购置、信息网络及软件购置更新。</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年一般公共预算财政拨款支出预算443.33万元，与上年相比增加23.21万元，增长5.52%。主要原因是人员增加。</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年度一般公共预算财政拨款基本支出预算251.33万元，其中：</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163.01万元。主要包括：基本工资、津贴补贴、奖金、机关事业单位基本养老保险缴费、职业年金缴费、职工基本医疗保险缴费、其他社会保障缴费、住房公积金、其他工资福利支出、退休费、奖励金。</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88.32万元。主要包括：办公费、印刷费、水费、电费、邮电费、差旅费、会议费、培训费、公务接待费、劳务费、委托业务费、工会经费、福利费、公务用车运行维护费、其他交通费用、其他商品和服务支出、办公设备购置、信息网络及软件购置更新。</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度一般公共预算拨款安排的“三公”经费预算支出中，因公出国（境）费支出0万元，占“三公”经费的0%；公务用车购置及运行维护费支出6万元，占“三公”经费的79.47%；公务接待费支出1.55万元，占“三公”经费的20.53%。具体情况如下：</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2．公务用车购置及运行维护费预算支出6万元。其中：</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（2）公务用车运行维护费预算支出6万元，与上年预算数相同。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3．公务接待费预算支出1.55万元，比上年预算增加0.22万元，主要原因是因工作需要，省市领导调研增加。</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年度一般公共预算拨款安排的会议费预算支出3万元，与上年预算数相同。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年度一般公共预算拨款安排的培训费预算支出55.39万元，比上年预算增加0.25万元，主要原因是根据工作需要，加大培训力度。</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年政府性基金支出预算支出0万元。与上年预算数相同。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宿迁市红十字会</w:t>
      </w:r>
      <w:r>
        <w:rPr>
          <w:rFonts w:hint="eastAsia" w:ascii="仿宋" w:hAnsi="仿宋" w:eastAsia="仿宋" w:cs="仿宋"/>
          <w:lang w:eastAsia="zh-CN"/>
        </w:rPr>
        <w:t>2023</w:t>
      </w:r>
      <w:r>
        <w:rPr>
          <w:rFonts w:ascii="仿宋" w:hAnsi="仿宋" w:eastAsia="仿宋" w:cs="仿宋"/>
        </w:rPr>
        <w:t>年国有资本经营预算支出0万元。与上年预算数相同。</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2023</w:t>
      </w:r>
      <w:r>
        <w:rPr>
          <w:rFonts w:ascii="仿宋" w:hAnsi="仿宋" w:eastAsia="仿宋" w:cs="仿宋"/>
        </w:rPr>
        <w:t>年本部门一般公共预算机关运行经费预算支出81.32万元。与上年相比增加5.4万元，增长7.11%。主要原因是人员增加。</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2023</w:t>
      </w:r>
      <w:r>
        <w:rPr>
          <w:rFonts w:ascii="仿宋" w:hAnsi="仿宋" w:eastAsia="仿宋" w:cs="仿宋"/>
        </w:rPr>
        <w:t>年度政府采购支出预算总额0万元，其中：拟采购货物支出0万元、拟采购工程支出0万元、拟购买服务支出0万元。</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共有车辆1辆，其中，一般公务用车0辆、执法执勤用车0辆、特种专业技术用车1辆、业务用车0辆、其他用车0辆等。单价50万元（含）以上的通用设备0台（套），单价100万元（含）以上的专用设备0台（套）。</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lang w:eastAsia="zh-CN"/>
        </w:rPr>
        <w:t>2023</w:t>
      </w:r>
      <w:r>
        <w:rPr>
          <w:rFonts w:ascii="仿宋" w:hAnsi="仿宋" w:eastAsia="仿宋" w:cs="仿宋"/>
        </w:rPr>
        <w:t>年度，本部门整体支出纳入绩效目标管理，涉及四本预算资金192万元；本部门共6个项目纳入绩效目标管理，涉及四本预算资金合计192万元，占四本预算资金(基本支出除外)总额的比例为100%。</w:t>
      </w:r>
    </w:p>
    <w:p>
      <w:pPr>
        <w:pStyle w:val="4"/>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4"/>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4"/>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4"/>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4"/>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4"/>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4"/>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4"/>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4"/>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4"/>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八、社会保障和就业支出(类)红十字事业(款)行政运行(项)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4"/>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九、社会保障和就业支出(类)红十字事业(款)机关服务(项)</w:t>
      </w:r>
      <w:r>
        <w:rPr>
          <w:rFonts w:ascii="仿宋" w:hAnsi="仿宋" w:eastAsia="仿宋" w:cs="仿宋"/>
          <w:b/>
        </w:rPr>
        <w:t>：</w:t>
      </w:r>
      <w:r>
        <w:rPr>
          <w:rFonts w:hint="eastAsia" w:ascii="仿宋" w:hAnsi="仿宋" w:eastAsia="仿宋" w:cs="仿宋"/>
        </w:rPr>
        <w:t>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pStyle w:val="4"/>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十、社会保障和就业支出(类)红十字事业(款)其他红十字事业支出(项)</w:t>
      </w:r>
      <w:r>
        <w:rPr>
          <w:rFonts w:ascii="仿宋" w:hAnsi="仿宋" w:eastAsia="仿宋" w:cs="仿宋"/>
          <w:b/>
        </w:rPr>
        <w:t>：</w:t>
      </w:r>
      <w:r>
        <w:rPr>
          <w:rFonts w:hint="eastAsia" w:ascii="仿宋" w:hAnsi="仿宋" w:eastAsia="仿宋" w:cs="仿宋"/>
        </w:rPr>
        <w:t>反映除上述项目以外其他用于红十字事业方面的支出。</w:t>
      </w:r>
    </w:p>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5"/>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5"/>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000000" w:sz="4" w:space="1"/>
      </w:pBdr>
      <w:jc w:val="both"/>
      <w:rPr>
        <w:rFonts w:hint="default" w:eastAsia="Arial Unicode MS"/>
        <w:lang w:val="en-US" w:eastAsia="zh-CN"/>
      </w:rPr>
    </w:pPr>
    <w:r>
      <w:rPr>
        <w:rFonts w:hint="eastAsia"/>
        <w:lang w:val="en-US" w:eastAsia="zh-CN"/>
      </w:rPr>
      <w:t>宿迁市红十字会</w:t>
    </w:r>
    <w:r>
      <w:rPr>
        <w:rFonts w:hint="eastAsia"/>
        <w:lang w:eastAsia="zh-CN"/>
      </w:rPr>
      <w:t>2023</w:t>
    </w:r>
    <w:r>
      <w:t>年度部门预算公开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MWJkMWM4YTA0YTY2NDEyZjExZDMxNGQ0Nzc5ZDYifQ=="/>
  </w:docVars>
  <w:rsids>
    <w:rsidRoot w:val="72747613"/>
    <w:rsid w:val="7274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2"/>
    <w:basedOn w:val="1"/>
    <w:next w:val="1"/>
    <w:qFormat/>
    <w:uiPriority w:val="1"/>
    <w:pPr>
      <w:ind w:right="18" w:firstLine="0"/>
      <w:jc w:val="center"/>
      <w:outlineLvl w:val="1"/>
    </w:pPr>
    <w:rPr>
      <w:sz w:val="44"/>
      <w:szCs w:val="44"/>
    </w:rPr>
  </w:style>
  <w:style w:type="paragraph" w:styleId="3">
    <w:name w:val="heading 4"/>
    <w:basedOn w:val="1"/>
    <w:next w:val="1"/>
    <w:qFormat/>
    <w:uiPriority w:val="1"/>
    <w:pPr>
      <w:jc w:val="center"/>
      <w:outlineLvl w:val="3"/>
    </w:pPr>
    <w:rPr>
      <w:sz w:val="36"/>
      <w:szCs w:val="36"/>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pBdr>
        <w:bottom w:val="single" w:color="000000"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List Paragraph"/>
    <w:basedOn w:val="1"/>
    <w:qFormat/>
    <w:uiPriority w:val="1"/>
    <w:pPr>
      <w:ind w:left="2039" w:hanging="782"/>
    </w:pPr>
  </w:style>
  <w:style w:type="paragraph" w:customStyle="1" w:styleId="11">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2023-10-20T01:55:00Z</dcterms:created>
  <dc:creator>Mr.zhang</dc:creator>
  <cp:lastModifiedBy>Mr.zhang</cp:lastModifiedBy>
  <dcterms:modified xsi:type="dcterms:W3CDTF">2023-10-20T01:55:43Z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5BE8BAE651C04566B18E08B344A451A7_11</vt:lpwstr>
  </property>
</Properties>
</file>