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_GBK" w:cs="方正小标宋_GBK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_GBK" w:cs="方正小标宋_GBK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_GBK" w:cs="方正小标宋_GBK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  <w:lang w:val="en-US" w:eastAsia="zh-CN"/>
        </w:rPr>
        <w:t>宿迁市</w:t>
      </w:r>
      <w:r>
        <w:rPr>
          <w:rFonts w:hint="eastAsia" w:ascii="Times New Roman" w:hAnsi="Times New Roman" w:eastAsia="方正小标宋_GBK" w:cs="方正小标宋_GBK"/>
          <w:sz w:val="44"/>
          <w:szCs w:val="44"/>
        </w:rPr>
        <w:t>红十字会采购管理制度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_GBK" w:cs="方正小标宋_GBK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640" w:firstLineChars="200"/>
        <w:jc w:val="left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sz w:val="32"/>
          <w:szCs w:val="32"/>
        </w:rPr>
        <w:t>第一条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 根据《中华人民共和国政府采购法》《政府采购货物和服务招标投标管理办法》等规定，为加强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市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红十字会采购管 理，规范采购程序，防止国有资产流失，制定本制度。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640" w:firstLineChars="200"/>
        <w:jc w:val="left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sz w:val="32"/>
          <w:szCs w:val="32"/>
        </w:rPr>
        <w:t>第二条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 本制度所称的采购包括货物（含计算机设备及软件、办公设备、车辆、其他通用设备、仪器仪表及红十字会救灾、救助、救护、志愿服务货物等）、工程及服务（含信息技术、租赁、车辆维修和保养、会议和展览、法律、会计、审计、广告等）采购。采购货物、工程和服务，应当遵循公开透明、公平竞争、诚实信用原则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640" w:firstLineChars="200"/>
        <w:jc w:val="left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sz w:val="32"/>
          <w:szCs w:val="32"/>
        </w:rPr>
        <w:t>第三条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 采购活动严格执行经费预算和资产配置标准，合理确定采购需求，不得超标准采购，不得超出办公需要采购服务。由采购部室根据年度预算和项目计划组织实施。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640" w:firstLineChars="200"/>
        <w:jc w:val="left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sz w:val="32"/>
          <w:szCs w:val="32"/>
        </w:rPr>
        <w:t>第四条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 采购执行按职能分工进行落实。业务部室负责本部室职责范围内上级红会业务项目和专用设备、材料的采购；办公室负责日常办公用品和后勤保障维修工程等内容的采购。财会人员不得直接承办具体物资的采购。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640" w:firstLineChars="200"/>
        <w:jc w:val="left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sz w:val="32"/>
          <w:szCs w:val="32"/>
        </w:rPr>
        <w:t>第五条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 采购内容属于政府集中采购目录内，且预算金额在限额标准以上的项目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应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按照市政府相关规定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实施采购。属于协议供货、定点采购和网上商城项目，应实行协议供货、定点采购和网上商城采购。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hZGQwNWI2MDNkN2M2MmQ2NzcyY2JlYTdiNjMyODIifQ=="/>
  </w:docVars>
  <w:rsids>
    <w:rsidRoot w:val="39AB0BD0"/>
    <w:rsid w:val="39AB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2023-10-20T01:42:00Z</dcterms:created>
  <dc:creator>Administrator</dc:creator>
  <cp:lastModifiedBy>Administrator</cp:lastModifiedBy>
  <dcterms:modified xsi:type="dcterms:W3CDTF">2023-10-20T01:42:34Z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60765BC466914B62BA26F5A39B2CCA2C_11</vt:lpwstr>
  </property>
</Properties>
</file>